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E93" w:rsidRPr="008008D3" w:rsidRDefault="00B63E93" w:rsidP="00C62BE4">
      <w:pPr>
        <w:shd w:val="clear" w:color="auto" w:fill="FFFFFF"/>
        <w:spacing w:line="360" w:lineRule="auto"/>
        <w:jc w:val="center"/>
        <w:rPr>
          <w:rFonts w:ascii="Calibri" w:eastAsia="Calibri" w:hAnsi="Calibri" w:cs="Calibri"/>
          <w:color w:val="002060"/>
          <w:sz w:val="24"/>
          <w:szCs w:val="24"/>
        </w:rPr>
      </w:pPr>
    </w:p>
    <w:p w:rsidR="00B63E93" w:rsidRPr="008008D3" w:rsidRDefault="00B76FCC" w:rsidP="00C62BE4">
      <w:pPr>
        <w:tabs>
          <w:tab w:val="center" w:pos="0"/>
        </w:tabs>
        <w:spacing w:before="120" w:line="360" w:lineRule="auto"/>
        <w:jc w:val="center"/>
        <w:rPr>
          <w:rFonts w:ascii="Calibri" w:eastAsia="Calibri" w:hAnsi="Calibri" w:cs="Calibri"/>
          <w:b/>
          <w:color w:val="002060"/>
          <w:sz w:val="24"/>
          <w:szCs w:val="24"/>
          <w:u w:val="single"/>
        </w:rPr>
      </w:pPr>
      <w:r w:rsidRPr="008008D3">
        <w:rPr>
          <w:rFonts w:ascii="Calibri" w:eastAsia="Calibri" w:hAnsi="Calibri" w:cs="Calibri"/>
          <w:b/>
          <w:color w:val="002060"/>
          <w:sz w:val="24"/>
          <w:szCs w:val="24"/>
          <w:u w:val="single"/>
        </w:rPr>
        <w:t>ANEXO 01 - CATEGORIAS E COTAS</w:t>
      </w:r>
    </w:p>
    <w:p w:rsidR="00B63E93" w:rsidRPr="008008D3" w:rsidRDefault="00B63E93" w:rsidP="00C62BE4">
      <w:pPr>
        <w:tabs>
          <w:tab w:val="center" w:pos="0"/>
        </w:tabs>
        <w:spacing w:line="360" w:lineRule="auto"/>
        <w:jc w:val="both"/>
        <w:rPr>
          <w:rFonts w:ascii="Calibri" w:eastAsia="Calibri" w:hAnsi="Calibri" w:cs="Calibri"/>
          <w:b/>
          <w:color w:val="002060"/>
          <w:sz w:val="24"/>
          <w:szCs w:val="24"/>
        </w:rPr>
      </w:pPr>
    </w:p>
    <w:p w:rsidR="00B63E93" w:rsidRPr="008008D3" w:rsidRDefault="00B76FCC" w:rsidP="00C62BE4">
      <w:pPr>
        <w:tabs>
          <w:tab w:val="center" w:pos="0"/>
        </w:tabs>
        <w:spacing w:line="360" w:lineRule="auto"/>
        <w:jc w:val="both"/>
        <w:rPr>
          <w:rFonts w:ascii="Calibri" w:eastAsia="Calibri" w:hAnsi="Calibri" w:cs="Calibri"/>
          <w:b/>
          <w:color w:val="002060"/>
          <w:sz w:val="24"/>
          <w:szCs w:val="24"/>
          <w:u w:val="single"/>
        </w:rPr>
      </w:pPr>
      <w:r w:rsidRPr="008008D3">
        <w:rPr>
          <w:rFonts w:ascii="Calibri" w:eastAsia="Calibri" w:hAnsi="Calibri" w:cs="Calibri"/>
          <w:b/>
          <w:color w:val="002060"/>
          <w:sz w:val="24"/>
          <w:szCs w:val="24"/>
          <w:u w:val="single"/>
        </w:rPr>
        <w:t>CATEGORIAS</w:t>
      </w:r>
    </w:p>
    <w:p w:rsidR="00B63E93" w:rsidRPr="008008D3" w:rsidRDefault="00B63E93" w:rsidP="00C62BE4">
      <w:pPr>
        <w:tabs>
          <w:tab w:val="center" w:pos="0"/>
        </w:tabs>
        <w:spacing w:line="360" w:lineRule="auto"/>
        <w:jc w:val="both"/>
        <w:rPr>
          <w:rFonts w:ascii="Calibri" w:eastAsia="Calibri" w:hAnsi="Calibri" w:cs="Calibri"/>
          <w:color w:val="002060"/>
          <w:sz w:val="24"/>
          <w:szCs w:val="24"/>
        </w:rPr>
      </w:pPr>
    </w:p>
    <w:p w:rsidR="009E3F72"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Visando à desconcentração territorial e à regionalização, os Entes Federativos devem estar atentos ao previsto no Capítulo VI da Instrução Normativa MinC nº 10, de 28 de dezembro de 2023, que dispõe sobre as regras e os procedimentos para implementação das ações afirmativas e medidas de acessibilidade de que trata o Decreto nº 11.740, de 18 de outubro de 2023, que regulamenta a Lei nº 14.399, de 08 de julho de 2022, a qual institui a Política Nacional Aldir Blanc de Fomento à Cultura.</w:t>
      </w:r>
    </w:p>
    <w:p w:rsidR="009E3F72" w:rsidRPr="008008D3" w:rsidRDefault="009E3F72" w:rsidP="00C62BE4">
      <w:pPr>
        <w:tabs>
          <w:tab w:val="center" w:pos="0"/>
        </w:tabs>
        <w:spacing w:line="360" w:lineRule="auto"/>
        <w:jc w:val="both"/>
        <w:rPr>
          <w:rFonts w:ascii="Calibri" w:eastAsia="Calibri" w:hAnsi="Calibri" w:cs="Calibri"/>
          <w:color w:val="002060"/>
          <w:sz w:val="24"/>
          <w:szCs w:val="24"/>
        </w:rPr>
      </w:pP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Em especial, destaca-se:</w:t>
      </w:r>
    </w:p>
    <w:p w:rsidR="009E3F72" w:rsidRPr="008008D3" w:rsidRDefault="009E3F72" w:rsidP="00C62BE4">
      <w:pPr>
        <w:tabs>
          <w:tab w:val="center" w:pos="0"/>
        </w:tabs>
        <w:spacing w:line="360" w:lineRule="auto"/>
        <w:jc w:val="both"/>
        <w:rPr>
          <w:rFonts w:ascii="Calibri" w:eastAsia="Calibri" w:hAnsi="Calibri" w:cs="Calibri"/>
          <w:color w:val="002060"/>
          <w:sz w:val="24"/>
          <w:szCs w:val="24"/>
        </w:rPr>
      </w:pP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“CAPÍTULO VI</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DAS MEDIDAS DE DESCONCENTRAÇÃO TERRITORIAL E REGIONALIZAÇÃO</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Art. 15. Os entes deverão instituir mecanismos de desconcentração territorial e regionalização dos recursos, inclusive com vistas à implementação do percentual de 20% (vinte por cento) de que trata o art. 6º, II, da PNAB, em ações de incentivo direto a programas, a projetos e a ações de democratização do acesso à fruição e à produção artística e cultural em áreas periféricas, urbanas e rurais, e em territórios e regiões de maior vulnerabilidade econômica ou social, bem como em áreas de povos e comunidades tradicionais, quais sejam:</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I - regiões periféricas;</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II - regiões com menor Índice de Desenvolvimento Humano - IDH;</w:t>
      </w:r>
    </w:p>
    <w:p w:rsidR="00C62BE4" w:rsidRPr="008008D3" w:rsidRDefault="00C62BE4" w:rsidP="00C62BE4">
      <w:pPr>
        <w:tabs>
          <w:tab w:val="center" w:pos="0"/>
        </w:tabs>
        <w:spacing w:line="360" w:lineRule="auto"/>
        <w:jc w:val="both"/>
        <w:rPr>
          <w:rFonts w:ascii="Calibri" w:eastAsia="Calibri" w:hAnsi="Calibri" w:cs="Calibri"/>
          <w:color w:val="002060"/>
          <w:sz w:val="24"/>
          <w:szCs w:val="24"/>
        </w:rPr>
      </w:pP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III - regiões onde são localizados conjuntos e empreendimentos habitacionais, e programas habitacionais de interesse social, promovidos por programas do governo federal ou local;</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IV - assentamentos e acampamentos;</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V - regiões com menor presença de espaços e equipamentos culturais públicos;</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VI - regiões com menor histórico de acesso aos recursos da política pública de cultura;</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VII - zonas especiais de interesse social; VIII - áreas atingidas por desastres naturais;</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IX - territórios quilombolas;</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X - territórios indígenas;</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XI - territórios rurais;</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XII - espaços comunitários de convivência, acolhimento e alimentação; e</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XIII - demais regiões que sejam habitadas por pessoas em situação de vulnerabilidade econômica ou social.</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1º As ações afirmativas de que tratam o caput podem ser empregadas quando os projetos são realizados nos territórios e regiões ou quando são propostos por agentes culturais nelas residentes.</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2º Para fins de aferição do percentual estabelecido no art. 6º, II, da PNAB, serão consideradas apenas as ações e projetos realizados nos territórios e regiões de que tratam este artigo.”</w:t>
      </w:r>
    </w:p>
    <w:p w:rsidR="00B63E93" w:rsidRPr="008008D3" w:rsidRDefault="00B63E93" w:rsidP="00C62BE4">
      <w:pPr>
        <w:tabs>
          <w:tab w:val="center" w:pos="0"/>
        </w:tabs>
        <w:spacing w:line="360" w:lineRule="auto"/>
        <w:jc w:val="both"/>
        <w:rPr>
          <w:rFonts w:ascii="Calibri" w:eastAsia="Calibri" w:hAnsi="Calibri" w:cs="Calibri"/>
          <w:color w:val="002060"/>
          <w:sz w:val="24"/>
          <w:szCs w:val="24"/>
        </w:rPr>
      </w:pPr>
    </w:p>
    <w:p w:rsidR="00C62BE4" w:rsidRPr="008008D3" w:rsidRDefault="00C62BE4" w:rsidP="00C62BE4">
      <w:pPr>
        <w:tabs>
          <w:tab w:val="center" w:pos="0"/>
        </w:tabs>
        <w:spacing w:line="360" w:lineRule="auto"/>
        <w:jc w:val="both"/>
        <w:rPr>
          <w:rFonts w:ascii="Calibri" w:eastAsia="Calibri" w:hAnsi="Calibri" w:cs="Calibri"/>
          <w:color w:val="002060"/>
          <w:sz w:val="24"/>
          <w:szCs w:val="24"/>
        </w:rPr>
      </w:pPr>
    </w:p>
    <w:p w:rsidR="00C62BE4" w:rsidRPr="008008D3" w:rsidRDefault="00C62BE4" w:rsidP="00C62BE4">
      <w:pPr>
        <w:tabs>
          <w:tab w:val="center" w:pos="0"/>
        </w:tabs>
        <w:spacing w:line="360" w:lineRule="auto"/>
        <w:jc w:val="both"/>
        <w:rPr>
          <w:rFonts w:ascii="Calibri" w:eastAsia="Calibri" w:hAnsi="Calibri" w:cs="Calibri"/>
          <w:color w:val="002060"/>
          <w:sz w:val="24"/>
          <w:szCs w:val="24"/>
        </w:rPr>
      </w:pPr>
    </w:p>
    <w:p w:rsidR="00C62BE4" w:rsidRPr="008008D3" w:rsidRDefault="00C62BE4" w:rsidP="00C62BE4">
      <w:pPr>
        <w:tabs>
          <w:tab w:val="center" w:pos="0"/>
        </w:tabs>
        <w:spacing w:line="360" w:lineRule="auto"/>
        <w:jc w:val="both"/>
        <w:rPr>
          <w:rFonts w:ascii="Calibri" w:eastAsia="Calibri" w:hAnsi="Calibri" w:cs="Calibri"/>
          <w:color w:val="002060"/>
          <w:sz w:val="24"/>
          <w:szCs w:val="24"/>
        </w:rPr>
      </w:pPr>
    </w:p>
    <w:p w:rsidR="00C62BE4" w:rsidRPr="008008D3" w:rsidRDefault="00C62BE4" w:rsidP="00C62BE4">
      <w:pPr>
        <w:tabs>
          <w:tab w:val="center" w:pos="0"/>
        </w:tabs>
        <w:spacing w:line="360" w:lineRule="auto"/>
        <w:jc w:val="both"/>
        <w:rPr>
          <w:rFonts w:ascii="Calibri" w:eastAsia="Calibri" w:hAnsi="Calibri" w:cs="Calibri"/>
          <w:color w:val="002060"/>
          <w:sz w:val="24"/>
          <w:szCs w:val="24"/>
        </w:rPr>
      </w:pPr>
    </w:p>
    <w:p w:rsidR="00C62BE4" w:rsidRPr="008008D3" w:rsidRDefault="00C62BE4" w:rsidP="00C62BE4">
      <w:pPr>
        <w:tabs>
          <w:tab w:val="center" w:pos="0"/>
        </w:tabs>
        <w:spacing w:line="360" w:lineRule="auto"/>
        <w:jc w:val="both"/>
        <w:rPr>
          <w:rFonts w:ascii="Calibri" w:eastAsia="Calibri" w:hAnsi="Calibri" w:cs="Calibri"/>
          <w:color w:val="002060"/>
          <w:sz w:val="24"/>
          <w:szCs w:val="24"/>
        </w:rPr>
      </w:pPr>
    </w:p>
    <w:tbl>
      <w:tblPr>
        <w:tblStyle w:val="a"/>
        <w:tblW w:w="1396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555"/>
        <w:gridCol w:w="4095"/>
        <w:gridCol w:w="4245"/>
        <w:gridCol w:w="5070"/>
      </w:tblGrid>
      <w:tr w:rsidR="008008D3" w:rsidRPr="008008D3">
        <w:trPr>
          <w:cantSplit/>
        </w:trPr>
        <w:tc>
          <w:tcPr>
            <w:tcW w:w="555" w:type="dxa"/>
            <w:shd w:val="clear" w:color="auto" w:fill="auto"/>
            <w:tcMar>
              <w:top w:w="100" w:type="dxa"/>
              <w:left w:w="100" w:type="dxa"/>
              <w:bottom w:w="100" w:type="dxa"/>
              <w:right w:w="100" w:type="dxa"/>
            </w:tcMar>
            <w:vAlign w:val="center"/>
          </w:tcPr>
          <w:p w:rsidR="00B63E93" w:rsidRPr="008008D3" w:rsidRDefault="00B63E93" w:rsidP="00C62BE4">
            <w:pPr>
              <w:widowControl w:val="0"/>
              <w:pBdr>
                <w:top w:val="nil"/>
                <w:left w:val="nil"/>
                <w:bottom w:val="nil"/>
                <w:right w:val="nil"/>
                <w:between w:val="nil"/>
              </w:pBdr>
              <w:spacing w:line="360" w:lineRule="auto"/>
              <w:jc w:val="center"/>
              <w:rPr>
                <w:rFonts w:ascii="Calibri" w:eastAsia="Calibri" w:hAnsi="Calibri" w:cs="Calibri"/>
                <w:b/>
                <w:color w:val="002060"/>
                <w:sz w:val="24"/>
                <w:szCs w:val="24"/>
              </w:rPr>
            </w:pPr>
          </w:p>
        </w:tc>
        <w:tc>
          <w:tcPr>
            <w:tcW w:w="4095" w:type="dxa"/>
            <w:shd w:val="clear" w:color="auto" w:fill="auto"/>
            <w:tcMar>
              <w:top w:w="100" w:type="dxa"/>
              <w:left w:w="100" w:type="dxa"/>
              <w:bottom w:w="100" w:type="dxa"/>
              <w:right w:w="100" w:type="dxa"/>
            </w:tcMar>
            <w:vAlign w:val="center"/>
          </w:tcPr>
          <w:p w:rsidR="00B63E93" w:rsidRPr="008008D3" w:rsidRDefault="00B76FCC" w:rsidP="00C62BE4">
            <w:pPr>
              <w:widowControl w:val="0"/>
              <w:pBdr>
                <w:top w:val="nil"/>
                <w:left w:val="nil"/>
                <w:bottom w:val="nil"/>
                <w:right w:val="nil"/>
                <w:between w:val="nil"/>
              </w:pBdr>
              <w:spacing w:line="360" w:lineRule="auto"/>
              <w:jc w:val="center"/>
              <w:rPr>
                <w:rFonts w:ascii="Calibri" w:eastAsia="Calibri" w:hAnsi="Calibri" w:cs="Calibri"/>
                <w:b/>
                <w:color w:val="002060"/>
                <w:sz w:val="24"/>
                <w:szCs w:val="24"/>
              </w:rPr>
            </w:pPr>
            <w:r w:rsidRPr="008008D3">
              <w:rPr>
                <w:rFonts w:ascii="Calibri" w:eastAsia="Calibri" w:hAnsi="Calibri" w:cs="Calibri"/>
                <w:b/>
                <w:color w:val="002060"/>
                <w:sz w:val="24"/>
                <w:szCs w:val="24"/>
              </w:rPr>
              <w:t>NOME  E DESCRIÇÃO DA CATEGORIA</w:t>
            </w:r>
          </w:p>
        </w:tc>
        <w:tc>
          <w:tcPr>
            <w:tcW w:w="4245" w:type="dxa"/>
            <w:shd w:val="clear" w:color="auto" w:fill="auto"/>
            <w:tcMar>
              <w:top w:w="100" w:type="dxa"/>
              <w:left w:w="100" w:type="dxa"/>
              <w:bottom w:w="100" w:type="dxa"/>
              <w:right w:w="100" w:type="dxa"/>
            </w:tcMar>
            <w:vAlign w:val="center"/>
          </w:tcPr>
          <w:p w:rsidR="00B63E93" w:rsidRPr="008008D3" w:rsidRDefault="00B76FCC" w:rsidP="00C62BE4">
            <w:pPr>
              <w:widowControl w:val="0"/>
              <w:pBdr>
                <w:top w:val="nil"/>
                <w:left w:val="nil"/>
                <w:bottom w:val="nil"/>
                <w:right w:val="nil"/>
                <w:between w:val="nil"/>
              </w:pBdr>
              <w:spacing w:line="360" w:lineRule="auto"/>
              <w:jc w:val="center"/>
              <w:rPr>
                <w:rFonts w:ascii="Calibri" w:eastAsia="Calibri" w:hAnsi="Calibri" w:cs="Calibri"/>
                <w:b/>
                <w:color w:val="002060"/>
                <w:sz w:val="24"/>
                <w:szCs w:val="24"/>
              </w:rPr>
            </w:pPr>
            <w:r w:rsidRPr="008008D3">
              <w:rPr>
                <w:rFonts w:ascii="Calibri" w:eastAsia="Calibri" w:hAnsi="Calibri" w:cs="Calibri"/>
                <w:b/>
                <w:color w:val="002060"/>
                <w:sz w:val="24"/>
                <w:szCs w:val="24"/>
              </w:rPr>
              <w:t>NÚMERO DE VAGAS PARA CATEGORIA</w:t>
            </w:r>
          </w:p>
        </w:tc>
        <w:tc>
          <w:tcPr>
            <w:tcW w:w="5070" w:type="dxa"/>
            <w:shd w:val="clear" w:color="auto" w:fill="auto"/>
            <w:tcMar>
              <w:top w:w="100" w:type="dxa"/>
              <w:left w:w="100" w:type="dxa"/>
              <w:bottom w:w="100" w:type="dxa"/>
              <w:right w:w="100" w:type="dxa"/>
            </w:tcMar>
            <w:vAlign w:val="center"/>
          </w:tcPr>
          <w:p w:rsidR="00B63E93" w:rsidRPr="008008D3" w:rsidRDefault="00B76FCC" w:rsidP="00C62BE4">
            <w:pPr>
              <w:widowControl w:val="0"/>
              <w:spacing w:line="360" w:lineRule="auto"/>
              <w:jc w:val="center"/>
              <w:rPr>
                <w:rFonts w:ascii="Calibri" w:eastAsia="Calibri" w:hAnsi="Calibri" w:cs="Calibri"/>
                <w:b/>
                <w:color w:val="002060"/>
                <w:sz w:val="24"/>
                <w:szCs w:val="24"/>
              </w:rPr>
            </w:pPr>
            <w:r w:rsidRPr="008008D3">
              <w:rPr>
                <w:rFonts w:ascii="Calibri" w:eastAsia="Calibri" w:hAnsi="Calibri" w:cs="Calibri"/>
                <w:b/>
                <w:color w:val="002060"/>
                <w:sz w:val="24"/>
                <w:szCs w:val="24"/>
              </w:rPr>
              <w:t>VALOR TOTAL DISPONÍVEL POR PROJETO SELECIONADO (R$)</w:t>
            </w:r>
          </w:p>
        </w:tc>
      </w:tr>
      <w:tr w:rsidR="008008D3" w:rsidRPr="008008D3">
        <w:tc>
          <w:tcPr>
            <w:tcW w:w="555" w:type="dxa"/>
            <w:shd w:val="clear" w:color="auto" w:fill="auto"/>
            <w:tcMar>
              <w:top w:w="100" w:type="dxa"/>
              <w:left w:w="100" w:type="dxa"/>
              <w:bottom w:w="100" w:type="dxa"/>
              <w:right w:w="100" w:type="dxa"/>
            </w:tcMar>
            <w:vAlign w:val="center"/>
          </w:tcPr>
          <w:p w:rsidR="00B63E93" w:rsidRPr="008008D3" w:rsidRDefault="00B76FCC" w:rsidP="00E667BC">
            <w:pPr>
              <w:rPr>
                <w:b/>
                <w:bCs/>
                <w:color w:val="002060"/>
              </w:rPr>
            </w:pPr>
            <w:r w:rsidRPr="008008D3">
              <w:rPr>
                <w:b/>
                <w:bCs/>
                <w:color w:val="002060"/>
              </w:rPr>
              <w:t>01</w:t>
            </w:r>
          </w:p>
        </w:tc>
        <w:tc>
          <w:tcPr>
            <w:tcW w:w="4095" w:type="dxa"/>
            <w:shd w:val="clear" w:color="auto" w:fill="auto"/>
            <w:tcMar>
              <w:top w:w="100" w:type="dxa"/>
              <w:left w:w="100" w:type="dxa"/>
              <w:bottom w:w="100" w:type="dxa"/>
              <w:right w:w="100" w:type="dxa"/>
            </w:tcMar>
            <w:vAlign w:val="center"/>
          </w:tcPr>
          <w:p w:rsidR="00E667BC" w:rsidRPr="008008D3" w:rsidRDefault="00D3328B" w:rsidP="00E667BC">
            <w:pPr>
              <w:rPr>
                <w:b/>
                <w:bCs/>
                <w:color w:val="002060"/>
              </w:rPr>
            </w:pPr>
            <w:r>
              <w:rPr>
                <w:b/>
                <w:bCs/>
                <w:color w:val="002060"/>
              </w:rPr>
              <w:t>Qualquer categoria</w:t>
            </w:r>
          </w:p>
        </w:tc>
        <w:tc>
          <w:tcPr>
            <w:tcW w:w="4245" w:type="dxa"/>
            <w:shd w:val="clear" w:color="auto" w:fill="auto"/>
            <w:tcMar>
              <w:top w:w="100" w:type="dxa"/>
              <w:left w:w="100" w:type="dxa"/>
              <w:bottom w:w="100" w:type="dxa"/>
              <w:right w:w="100" w:type="dxa"/>
            </w:tcMar>
            <w:vAlign w:val="center"/>
          </w:tcPr>
          <w:p w:rsidR="00B63E93" w:rsidRPr="008008D3" w:rsidRDefault="004E5997" w:rsidP="00D3328B">
            <w:pPr>
              <w:jc w:val="center"/>
              <w:rPr>
                <w:b/>
                <w:bCs/>
                <w:color w:val="002060"/>
              </w:rPr>
            </w:pPr>
            <w:r w:rsidRPr="008008D3">
              <w:rPr>
                <w:b/>
                <w:bCs/>
                <w:color w:val="002060"/>
              </w:rPr>
              <w:t>0</w:t>
            </w:r>
            <w:r w:rsidR="00D3328B">
              <w:rPr>
                <w:b/>
                <w:bCs/>
                <w:color w:val="002060"/>
              </w:rPr>
              <w:t>3</w:t>
            </w:r>
          </w:p>
        </w:tc>
        <w:tc>
          <w:tcPr>
            <w:tcW w:w="5070" w:type="dxa"/>
            <w:shd w:val="clear" w:color="auto" w:fill="auto"/>
            <w:tcMar>
              <w:top w:w="100" w:type="dxa"/>
              <w:left w:w="100" w:type="dxa"/>
              <w:bottom w:w="100" w:type="dxa"/>
              <w:right w:w="100" w:type="dxa"/>
            </w:tcMar>
            <w:vAlign w:val="center"/>
          </w:tcPr>
          <w:p w:rsidR="00B63E93" w:rsidRPr="008008D3" w:rsidRDefault="004E5997" w:rsidP="00D3328B">
            <w:pPr>
              <w:rPr>
                <w:b/>
                <w:bCs/>
                <w:color w:val="002060"/>
              </w:rPr>
            </w:pPr>
            <w:r w:rsidRPr="008008D3">
              <w:rPr>
                <w:b/>
                <w:bCs/>
                <w:color w:val="002060"/>
              </w:rPr>
              <w:t xml:space="preserve">R$ </w:t>
            </w:r>
            <w:r w:rsidR="00D3328B">
              <w:rPr>
                <w:b/>
                <w:bCs/>
                <w:color w:val="002060"/>
              </w:rPr>
              <w:t>20</w:t>
            </w:r>
            <w:r w:rsidRPr="008008D3">
              <w:rPr>
                <w:b/>
                <w:bCs/>
                <w:color w:val="002060"/>
              </w:rPr>
              <w:t>.</w:t>
            </w:r>
            <w:r w:rsidR="00D3328B">
              <w:rPr>
                <w:b/>
                <w:bCs/>
                <w:color w:val="002060"/>
              </w:rPr>
              <w:t>355</w:t>
            </w:r>
            <w:r w:rsidRPr="008008D3">
              <w:rPr>
                <w:b/>
                <w:bCs/>
                <w:color w:val="002060"/>
              </w:rPr>
              <w:t>,</w:t>
            </w:r>
            <w:r w:rsidR="00D3328B">
              <w:rPr>
                <w:b/>
                <w:bCs/>
                <w:color w:val="002060"/>
              </w:rPr>
              <w:t>61</w:t>
            </w:r>
            <w:r w:rsidRPr="008008D3">
              <w:rPr>
                <w:b/>
                <w:bCs/>
                <w:color w:val="002060"/>
              </w:rPr>
              <w:t xml:space="preserve"> </w:t>
            </w:r>
          </w:p>
        </w:tc>
      </w:tr>
    </w:tbl>
    <w:p w:rsidR="00B63E93" w:rsidRDefault="00B63E93" w:rsidP="00C62BE4">
      <w:pPr>
        <w:tabs>
          <w:tab w:val="center" w:pos="0"/>
        </w:tabs>
        <w:spacing w:line="360" w:lineRule="auto"/>
        <w:jc w:val="both"/>
        <w:rPr>
          <w:rFonts w:ascii="Calibri" w:eastAsia="Calibri" w:hAnsi="Calibri" w:cs="Calibri"/>
          <w:b/>
          <w:color w:val="002060"/>
          <w:sz w:val="24"/>
          <w:szCs w:val="24"/>
        </w:rPr>
      </w:pPr>
    </w:p>
    <w:p w:rsidR="00D3328B" w:rsidRPr="008008D3" w:rsidRDefault="00D3328B" w:rsidP="00C62BE4">
      <w:pPr>
        <w:tabs>
          <w:tab w:val="center" w:pos="0"/>
        </w:tabs>
        <w:spacing w:line="360" w:lineRule="auto"/>
        <w:jc w:val="both"/>
        <w:rPr>
          <w:rFonts w:ascii="Calibri" w:eastAsia="Calibri" w:hAnsi="Calibri" w:cs="Calibri"/>
          <w:b/>
          <w:color w:val="002060"/>
          <w:sz w:val="24"/>
          <w:szCs w:val="24"/>
        </w:rPr>
      </w:pPr>
    </w:p>
    <w:p w:rsidR="00B63E93" w:rsidRPr="008008D3" w:rsidRDefault="00B76FCC" w:rsidP="00C62BE4">
      <w:pPr>
        <w:tabs>
          <w:tab w:val="center" w:pos="0"/>
        </w:tabs>
        <w:spacing w:line="360" w:lineRule="auto"/>
        <w:jc w:val="both"/>
        <w:rPr>
          <w:rFonts w:ascii="Calibri" w:eastAsia="Calibri" w:hAnsi="Calibri" w:cs="Calibri"/>
          <w:b/>
          <w:color w:val="002060"/>
          <w:sz w:val="24"/>
          <w:szCs w:val="24"/>
          <w:u w:val="single"/>
        </w:rPr>
      </w:pPr>
      <w:r w:rsidRPr="008008D3">
        <w:rPr>
          <w:rFonts w:ascii="Calibri" w:eastAsia="Calibri" w:hAnsi="Calibri" w:cs="Calibri"/>
          <w:b/>
          <w:color w:val="002060"/>
          <w:sz w:val="24"/>
          <w:szCs w:val="24"/>
          <w:u w:val="single"/>
        </w:rPr>
        <w:t>COTAS</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Orientação: além das cotas obrigatórias, o Ente Federativo poderá definir cotas específicas, no quantitativo que julgar pertinente, desde que mantidos os princípios, diretrizes e objetivos da PNCV e da PNAB. A adoção de quaisquer cotas deverá ser justificada nos relatórios de monitoramento da implementação da PNAB.</w:t>
      </w:r>
    </w:p>
    <w:p w:rsidR="00B63E93" w:rsidRPr="008008D3" w:rsidRDefault="00B63E93" w:rsidP="00C62BE4">
      <w:pPr>
        <w:tabs>
          <w:tab w:val="center" w:pos="0"/>
        </w:tabs>
        <w:spacing w:line="360" w:lineRule="auto"/>
        <w:jc w:val="both"/>
        <w:rPr>
          <w:rFonts w:ascii="Calibri" w:eastAsia="Calibri" w:hAnsi="Calibri" w:cs="Calibri"/>
          <w:color w:val="002060"/>
          <w:sz w:val="24"/>
          <w:szCs w:val="24"/>
        </w:rPr>
      </w:pP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O Ente Federativo deverá considerar o conjunto de regramentos previstos na referida IN. Em especial, destaca-se:</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CAPÍTULO II</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DAS POLÍTICAS DE COTAS OU RESERVA DE VAGAS</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Art. 5º A política de cotas tem como objeto garantir a reserva de um percentual mínimo de vagas a grupos específicos, sendo aplicáveis aos procedimentos públicos de seleção de que trata a Lei nº 14.399, de 2022.</w:t>
      </w:r>
    </w:p>
    <w:p w:rsidR="00C62BE4" w:rsidRPr="008008D3" w:rsidRDefault="00C62BE4" w:rsidP="00C62BE4">
      <w:pPr>
        <w:tabs>
          <w:tab w:val="center" w:pos="0"/>
        </w:tabs>
        <w:spacing w:line="360" w:lineRule="auto"/>
        <w:jc w:val="both"/>
        <w:rPr>
          <w:rFonts w:ascii="Calibri" w:eastAsia="Calibri" w:hAnsi="Calibri" w:cs="Calibri"/>
          <w:color w:val="002060"/>
          <w:sz w:val="24"/>
          <w:szCs w:val="24"/>
        </w:rPr>
      </w:pP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Art. 6º Ficam garantidas cotas em todos os editais de fomento realizados com recursos da Lei nº 14.399, de 2022, de no mínimo:</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I - vinte e cinco por cento das vagas para pessoas negras (pretas ou pardas);</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lastRenderedPageBreak/>
        <w:t>II - dez por cento das vagas para pessoas indígenas; e</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III - cinco por cento para pessoas com deficiência.</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1º O percentual de que trata este artigo pode ser ampliado considerando legislações locais mais benéficas ao público-alvo da ação afirmativa e o quantitativo de pessoas negras, indígenas, e pessoas com deficiência na região.</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2º Na hipótese de quantitativo fracionado para o número de vagas reservadas, esse será aumentado para o primeiro número inteiro subsequente, em caso de fração igual ou maior que 0,5 (cinco décimos), ou diminuído para número inteiro imediatamente inferior, em caso de fração menor que 0,5 (cinco décimos).</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3º Em caso de editais divididos em categorias, devem ser estabelecidas cotas em todas elas, ressalvados os casos de impossibilidade fática, no qual o percentual mínimo de reserva será aplicado ao total das vagas do edital.</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4º Nos casos excepcionais em que for estabelecido somente uma vaga total por categoria, o ente pode optar por destiná-la à ampla concorrência ou às cotas, garantindo que ao menos vinte e cinco por cento do total das vagas do Edital sejam destinadas a pessoas negras, dez por cento a pessoas indígenas e dez por cento a pessoas com deficiência. (retificação publicada no DOU de 10/01/2024)</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5º Nos casos de editais específicos de que trata o art. 14, o estabelecimento de cotas para pessoas negras e indígenas pode ser dispensado, caso o edital seja integralmente direcionado a proponentes de grupos étnico-raciais público-alvo de ações afirmativas.</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6º As cotas previstas neste artigo podem ser implementadas juntamente com:</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I - cotas para outros grupos sociais e;</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II - outras ações afirmativas, tais como editais específicos e critérios diferenciados de pontuação.</w:t>
      </w:r>
    </w:p>
    <w:p w:rsidR="00C62BE4" w:rsidRPr="008008D3" w:rsidRDefault="00C62BE4" w:rsidP="00C62BE4">
      <w:pPr>
        <w:tabs>
          <w:tab w:val="center" w:pos="0"/>
        </w:tabs>
        <w:spacing w:line="360" w:lineRule="auto"/>
        <w:jc w:val="both"/>
        <w:rPr>
          <w:rFonts w:ascii="Calibri" w:eastAsia="Calibri" w:hAnsi="Calibri" w:cs="Calibri"/>
          <w:color w:val="002060"/>
          <w:sz w:val="24"/>
          <w:szCs w:val="24"/>
        </w:rPr>
      </w:pP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Art. 7º Os agentes culturais que optarem por concorrer às cotas concorrerão concomitantemente às vagas destinadas à ampla concorrência, de acordo com a sua classificação no processo.</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lastRenderedPageBreak/>
        <w:t>§ 1º As pessoas que optarem pelas cotas e atingirem nota suficiente para se classificar no número de vagas oferecidas para ampla concorrência não ocuparão as vagas destinadas para o preenchimento das cotas.</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2º Em caso de desistência de optantes aprovados nas cotas, a vaga não preenchida deverá ser ocupada por pessoa que concorreu às cotas de acordo com a ordem de classificação.</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3º No caso de não existirem propostas aptas em número suficiente para o cumprimento de uma das categorias de cotas previstas na seleção, o número de vagas restantes deverá ser destinado inicialmente para a outra categoria de cotas.</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4º Caso não haja outra categoria de cotas de que trata o §3º, as vagas não preenchidas deverão ser direcionadas para a ampla concorrência, sendo os demais candidatos selecionados de acordo com a ordem de classificação.</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Art. 8º Para concorrer às cotas, os agentes culturais deverão autodeclarar-se no ato de inscrição, conforme modelos constantes nos Anexo I e II, ou outro modelo disponibilizado pelo ente federativo.</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Parágrafo único. A autodeclaração poderá ser apresentada por escrito, em vídeo, áudio, em Libras, ou em outros formatos acessíveis.</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Art. 9º A autodeclaração do agente cultural goza de presunção de veracidade, podendo os Entes Federativos estabelecer em editais procedimentos complementares, tais como:</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I - heteroidentificação: procedimento complementar à autodeclaração de pertencimento racial, para confirmação, por terceiros, da identificação como pessoa negra (preta ou parda) de acordo com seu fenótipo, isto é, conforme suas características físicas;</w:t>
      </w:r>
    </w:p>
    <w:p w:rsidR="00C62BE4" w:rsidRPr="008008D3" w:rsidRDefault="00C62BE4" w:rsidP="00C62BE4">
      <w:pPr>
        <w:tabs>
          <w:tab w:val="center" w:pos="0"/>
        </w:tabs>
        <w:spacing w:line="360" w:lineRule="auto"/>
        <w:jc w:val="both"/>
        <w:rPr>
          <w:rFonts w:ascii="Calibri" w:eastAsia="Calibri" w:hAnsi="Calibri" w:cs="Calibri"/>
          <w:color w:val="002060"/>
          <w:sz w:val="24"/>
          <w:szCs w:val="24"/>
        </w:rPr>
      </w:pPr>
    </w:p>
    <w:p w:rsidR="00C62BE4" w:rsidRPr="008008D3" w:rsidRDefault="00C62BE4" w:rsidP="00C62BE4">
      <w:pPr>
        <w:tabs>
          <w:tab w:val="center" w:pos="0"/>
        </w:tabs>
        <w:spacing w:line="360" w:lineRule="auto"/>
        <w:jc w:val="both"/>
        <w:rPr>
          <w:rFonts w:ascii="Calibri" w:eastAsia="Calibri" w:hAnsi="Calibri" w:cs="Calibri"/>
          <w:color w:val="002060"/>
          <w:sz w:val="24"/>
          <w:szCs w:val="24"/>
        </w:rPr>
      </w:pPr>
    </w:p>
    <w:p w:rsidR="00C62BE4" w:rsidRPr="008008D3" w:rsidRDefault="00C62BE4" w:rsidP="00C62BE4">
      <w:pPr>
        <w:tabs>
          <w:tab w:val="center" w:pos="0"/>
        </w:tabs>
        <w:spacing w:line="360" w:lineRule="auto"/>
        <w:jc w:val="both"/>
        <w:rPr>
          <w:rFonts w:ascii="Calibri" w:eastAsia="Calibri" w:hAnsi="Calibri" w:cs="Calibri"/>
          <w:color w:val="002060"/>
          <w:sz w:val="24"/>
          <w:szCs w:val="24"/>
        </w:rPr>
      </w:pP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lastRenderedPageBreak/>
        <w:t>II - solicitação de carta consubstanciada: documento apresentado em formato escrito, oral ou audiovisual que promove a reflexão sobre o pertencimento étnico-racial, contendo os motivos pelos quais o agente cultural se autodeclara negro (preto ou pardo) ou indígena, conforme modelo constante no Anexo III;</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III - solicitação de um documento em formato escrito, oral ou audiovisual que demonstre o pertencimento étnico do agente cultural indígena elaborado por liderança ou entidade constituída em forma de associação, fundação ou qualquer configuração de entidade formalizada ou não, desde que gerida por povos indígenas;</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IV - procedimento de avaliação biopsicossocial realizada nos termos do § 1º do art. 2º da Lei nº 13.146, de 2015, solicitação de documentos como laudo médico, Certificado da Pessoa com Deficiência ou comprovante de recebimento de Benefício de Prestação Continuada à Pessoa com Deficiência; ou</w:t>
      </w: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V - outras estratégias com vistas a garantir que as cotas sejam destinadas a pessoas negras, indígenas ou com deficiência.</w:t>
      </w:r>
    </w:p>
    <w:p w:rsidR="00C62BE4" w:rsidRPr="008008D3" w:rsidRDefault="00C62BE4" w:rsidP="00C62BE4">
      <w:pPr>
        <w:tabs>
          <w:tab w:val="center" w:pos="0"/>
        </w:tabs>
        <w:spacing w:line="360" w:lineRule="auto"/>
        <w:jc w:val="both"/>
        <w:rPr>
          <w:rFonts w:ascii="Calibri" w:eastAsia="Calibri" w:hAnsi="Calibri" w:cs="Calibri"/>
          <w:color w:val="002060"/>
          <w:sz w:val="24"/>
          <w:szCs w:val="24"/>
        </w:rPr>
      </w:pP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As cotas mínimas para pessoas negras (pretas ou pardas), pessoas indígenas e pessoas com deficiência seguem o previsto no Capítulo II da Instrução Normativa MinC nº 10, de 28 de dezembro de 2023, que dispõe sobre as regras e os procedimentos para implementação das ações afirmativas e medidas de acessibilidade de que trata o Decreto nº 11.740, de 18 de outubro de 2023, que regulamenta a Lei nº 14.399, de 08 de julho de 2022, a qual institui a Política Nacional Aldir Blanc de Fomento à Cultura.</w:t>
      </w:r>
    </w:p>
    <w:p w:rsidR="00B63E93" w:rsidRPr="008008D3" w:rsidRDefault="00B63E93" w:rsidP="00C62BE4">
      <w:pPr>
        <w:tabs>
          <w:tab w:val="center" w:pos="0"/>
        </w:tabs>
        <w:spacing w:line="360" w:lineRule="auto"/>
        <w:jc w:val="both"/>
        <w:rPr>
          <w:rFonts w:ascii="Calibri" w:eastAsia="Calibri" w:hAnsi="Calibri" w:cs="Calibri"/>
          <w:color w:val="002060"/>
          <w:sz w:val="24"/>
          <w:szCs w:val="24"/>
        </w:rPr>
      </w:pP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 xml:space="preserve">O Ente Federativo responsável pelo Edital poderá definir cotas (no percentual máximo de 50% das vagas reservadas) para Pontos e Pontões de Cultura já certificados pelo Ministério da Cultura, </w:t>
      </w:r>
      <w:r w:rsidRPr="008008D3">
        <w:rPr>
          <w:rFonts w:ascii="Calibri" w:eastAsia="Calibri" w:hAnsi="Calibri" w:cs="Calibri"/>
          <w:color w:val="002060"/>
          <w:sz w:val="24"/>
          <w:szCs w:val="24"/>
          <w:u w:val="single"/>
        </w:rPr>
        <w:t>apenas no caso de não definir bonificações em pontuação extra (Anexo 02)</w:t>
      </w:r>
      <w:r w:rsidRPr="008008D3">
        <w:rPr>
          <w:rFonts w:ascii="Calibri" w:eastAsia="Calibri" w:hAnsi="Calibri" w:cs="Calibri"/>
          <w:color w:val="002060"/>
          <w:sz w:val="24"/>
          <w:szCs w:val="24"/>
        </w:rPr>
        <w:t>. Inclusive, pode não adotar cotas para Pontos e Pontões de Cultura já certificados pelo Ministério da Cultura, a seu critério.</w:t>
      </w:r>
    </w:p>
    <w:p w:rsidR="00B63E93" w:rsidRPr="008008D3" w:rsidRDefault="00B63E93" w:rsidP="00C62BE4">
      <w:pPr>
        <w:tabs>
          <w:tab w:val="center" w:pos="0"/>
        </w:tabs>
        <w:spacing w:line="360" w:lineRule="auto"/>
        <w:jc w:val="both"/>
        <w:rPr>
          <w:rFonts w:ascii="Calibri" w:eastAsia="Calibri" w:hAnsi="Calibri" w:cs="Calibri"/>
          <w:color w:val="002060"/>
          <w:sz w:val="24"/>
          <w:szCs w:val="24"/>
        </w:rPr>
      </w:pP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lastRenderedPageBreak/>
        <w:t>Caso opte por algum percentual de cotas para Pontos e Pontões de Cultura já certificados pelo Ministério da Cultura, a certificação não poderá ser em data posterior a 30 de junho de 2024 (considerando as inscrições efetuadas até 30 de março de 2024, pois o prazo de certificação, pela Comissão de Certificação do Cadastro Nacional de Pontos e Pontões de Cultura, é de até 90 dias). E não poderá ser definida cota por tempo de certificação, pois não há como se garantir a precisão deste tipo de informação.</w:t>
      </w:r>
    </w:p>
    <w:p w:rsidR="00B63E93" w:rsidRPr="008008D3" w:rsidRDefault="00B63E93" w:rsidP="00C62BE4">
      <w:pPr>
        <w:tabs>
          <w:tab w:val="center" w:pos="0"/>
        </w:tabs>
        <w:spacing w:line="360" w:lineRule="auto"/>
        <w:jc w:val="both"/>
        <w:rPr>
          <w:rFonts w:ascii="Calibri" w:eastAsia="Calibri" w:hAnsi="Calibri" w:cs="Calibri"/>
          <w:color w:val="002060"/>
          <w:sz w:val="24"/>
          <w:szCs w:val="24"/>
        </w:rPr>
      </w:pPr>
    </w:p>
    <w:p w:rsidR="00B63E93" w:rsidRPr="008008D3" w:rsidRDefault="00B76FCC" w:rsidP="00C62BE4">
      <w:pPr>
        <w:tabs>
          <w:tab w:val="center" w:pos="0"/>
        </w:tabs>
        <w:spacing w:line="360" w:lineRule="auto"/>
        <w:jc w:val="both"/>
        <w:rPr>
          <w:rFonts w:ascii="Calibri" w:eastAsia="Calibri" w:hAnsi="Calibri" w:cs="Calibri"/>
          <w:color w:val="002060"/>
          <w:sz w:val="24"/>
          <w:szCs w:val="24"/>
        </w:rPr>
      </w:pPr>
      <w:r w:rsidRPr="008008D3">
        <w:rPr>
          <w:rFonts w:ascii="Calibri" w:eastAsia="Calibri" w:hAnsi="Calibri" w:cs="Calibri"/>
          <w:color w:val="002060"/>
          <w:sz w:val="24"/>
          <w:szCs w:val="24"/>
        </w:rPr>
        <w:t>Conforme consta na Portaria Nº 80/2023 do Ministério da Cultura (que regulamenta a PNAB), não poderá ser adotado qualquer outro cadastro (como Cadastro Estadual e/ou Municipal de Pontos de Cultura, ou qualquer outro cadastro) para cotas. Apenas o Cadastro Nacional de Pontos e Pontões de Cultura poderá ser objeto de cotas.</w:t>
      </w:r>
    </w:p>
    <w:sectPr w:rsidR="00B63E93" w:rsidRPr="008008D3" w:rsidSect="00B97020">
      <w:headerReference w:type="default" r:id="rId6"/>
      <w:pgSz w:w="16834" w:h="11909" w:orient="landscape"/>
      <w:pgMar w:top="144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72A3" w:rsidRDefault="006B72A3">
      <w:pPr>
        <w:spacing w:line="240" w:lineRule="auto"/>
      </w:pPr>
      <w:r>
        <w:separator/>
      </w:r>
    </w:p>
  </w:endnote>
  <w:endnote w:type="continuationSeparator" w:id="1">
    <w:p w:rsidR="006B72A3" w:rsidRDefault="006B72A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72A3" w:rsidRDefault="006B72A3">
      <w:pPr>
        <w:spacing w:line="240" w:lineRule="auto"/>
      </w:pPr>
      <w:r>
        <w:separator/>
      </w:r>
    </w:p>
  </w:footnote>
  <w:footnote w:type="continuationSeparator" w:id="1">
    <w:p w:rsidR="006B72A3" w:rsidRDefault="006B72A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E93" w:rsidRDefault="009115AD">
    <w:pPr>
      <w:tabs>
        <w:tab w:val="center" w:pos="4252"/>
        <w:tab w:val="right" w:pos="8504"/>
      </w:tabs>
      <w:spacing w:line="240" w:lineRule="auto"/>
      <w:jc w:val="center"/>
    </w:pPr>
    <w:r>
      <w:rPr>
        <w:noProof/>
      </w:rPr>
      <w:drawing>
        <wp:anchor distT="0" distB="0" distL="114300" distR="114300" simplePos="0" relativeHeight="251661312" behindDoc="1" locked="0" layoutInCell="1" allowOverlap="1">
          <wp:simplePos x="0" y="0"/>
          <wp:positionH relativeFrom="column">
            <wp:posOffset>-698500</wp:posOffset>
          </wp:positionH>
          <wp:positionV relativeFrom="paragraph">
            <wp:posOffset>-618754</wp:posOffset>
          </wp:positionV>
          <wp:extent cx="7358141" cy="1224951"/>
          <wp:effectExtent l="0" t="0" r="0" b="0"/>
          <wp:wrapNone/>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s.pn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7358141" cy="1224951"/>
                  </a:xfrm>
                  <a:prstGeom prst="rect">
                    <a:avLst/>
                  </a:prstGeom>
                </pic:spPr>
              </pic:pic>
            </a:graphicData>
          </a:graphic>
        </wp:anchor>
      </w:drawing>
    </w:r>
    <w:r w:rsidR="00B97020">
      <w:rPr>
        <w:noProof/>
      </w:rPr>
      <w:pict>
        <v:shapetype id="_x0000_t32" coordsize="21600,21600" o:spt="32" o:oned="t" path="m,l21600,21600e" filled="f">
          <v:path arrowok="t" fillok="f" o:connecttype="none"/>
          <o:lock v:ext="edit" shapetype="t"/>
        </v:shapetype>
        <v:shape id="Conector de Seta Reta 3" o:spid="_x0000_s1026" type="#_x0000_t32" style="position:absolute;left:0;text-align:left;margin-left:-5pt;margin-top:31pt;width:457.35pt;height:1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" strokecolor="#002060">
          <v:stroke startarrowwidth="narrow" startarrowlength="short" endarrowwidth="narrow" endarrowlength="short"/>
        </v:shape>
      </w:pict>
    </w:r>
  </w:p>
  <w:p w:rsidR="00B63E93" w:rsidRDefault="00B63E93">
    <w:pPr>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hyphenationZone w:val="425"/>
  <w:characterSpacingControl w:val="doNotCompress"/>
  <w:hdrShapeDefaults>
    <o:shapedefaults v:ext="edit" spidmax="4098"/>
    <o:shapelayout v:ext="edit">
      <o:idmap v:ext="edit" data="1"/>
      <o:rules v:ext="edit">
        <o:r id="V:Rule1" type="connector" idref="#Conector de Seta Reta 3"/>
      </o:rules>
    </o:shapelayout>
  </w:hdrShapeDefaults>
  <w:footnotePr>
    <w:footnote w:id="0"/>
    <w:footnote w:id="1"/>
  </w:footnotePr>
  <w:endnotePr>
    <w:endnote w:id="0"/>
    <w:endnote w:id="1"/>
  </w:endnotePr>
  <w:compat/>
  <w:rsids>
    <w:rsidRoot w:val="00B63E93"/>
    <w:rsid w:val="000F4061"/>
    <w:rsid w:val="001E6CB9"/>
    <w:rsid w:val="003244BB"/>
    <w:rsid w:val="0033692E"/>
    <w:rsid w:val="00380D37"/>
    <w:rsid w:val="003D0824"/>
    <w:rsid w:val="004046A9"/>
    <w:rsid w:val="00467E60"/>
    <w:rsid w:val="004E5997"/>
    <w:rsid w:val="00555E9C"/>
    <w:rsid w:val="00697451"/>
    <w:rsid w:val="006B0548"/>
    <w:rsid w:val="006B72A3"/>
    <w:rsid w:val="006F508B"/>
    <w:rsid w:val="00727C78"/>
    <w:rsid w:val="007655AB"/>
    <w:rsid w:val="008008D3"/>
    <w:rsid w:val="008F338D"/>
    <w:rsid w:val="009115AD"/>
    <w:rsid w:val="009E3F72"/>
    <w:rsid w:val="00A03260"/>
    <w:rsid w:val="00A4326F"/>
    <w:rsid w:val="00A82A0D"/>
    <w:rsid w:val="00A91C9F"/>
    <w:rsid w:val="00B63E93"/>
    <w:rsid w:val="00B70FDC"/>
    <w:rsid w:val="00B76FCC"/>
    <w:rsid w:val="00B97020"/>
    <w:rsid w:val="00C62BE4"/>
    <w:rsid w:val="00CC64EA"/>
    <w:rsid w:val="00CF4D62"/>
    <w:rsid w:val="00D10541"/>
    <w:rsid w:val="00D3328B"/>
    <w:rsid w:val="00E667BC"/>
    <w:rsid w:val="00F864C8"/>
    <w:rsid w:val="00FD4A8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020"/>
  </w:style>
  <w:style w:type="paragraph" w:styleId="Ttulo1">
    <w:name w:val="heading 1"/>
    <w:basedOn w:val="Normal"/>
    <w:next w:val="Normal"/>
    <w:uiPriority w:val="9"/>
    <w:qFormat/>
    <w:rsid w:val="00B97020"/>
    <w:pPr>
      <w:keepNext/>
      <w:keepLines/>
      <w:spacing w:before="400" w:after="120"/>
      <w:outlineLvl w:val="0"/>
    </w:pPr>
    <w:rPr>
      <w:sz w:val="40"/>
      <w:szCs w:val="40"/>
    </w:rPr>
  </w:style>
  <w:style w:type="paragraph" w:styleId="Ttulo2">
    <w:name w:val="heading 2"/>
    <w:basedOn w:val="Normal"/>
    <w:next w:val="Normal"/>
    <w:uiPriority w:val="9"/>
    <w:semiHidden/>
    <w:unhideWhenUsed/>
    <w:qFormat/>
    <w:rsid w:val="00B97020"/>
    <w:pPr>
      <w:keepNext/>
      <w:keepLines/>
      <w:spacing w:before="360" w:after="120"/>
      <w:outlineLvl w:val="1"/>
    </w:pPr>
    <w:rPr>
      <w:sz w:val="32"/>
      <w:szCs w:val="32"/>
    </w:rPr>
  </w:style>
  <w:style w:type="paragraph" w:styleId="Ttulo3">
    <w:name w:val="heading 3"/>
    <w:basedOn w:val="Normal"/>
    <w:next w:val="Normal"/>
    <w:uiPriority w:val="9"/>
    <w:semiHidden/>
    <w:unhideWhenUsed/>
    <w:qFormat/>
    <w:rsid w:val="00B97020"/>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rsid w:val="00B97020"/>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rsid w:val="00B97020"/>
    <w:pPr>
      <w:keepNext/>
      <w:keepLines/>
      <w:spacing w:before="240" w:after="80"/>
      <w:outlineLvl w:val="4"/>
    </w:pPr>
    <w:rPr>
      <w:color w:val="666666"/>
    </w:rPr>
  </w:style>
  <w:style w:type="paragraph" w:styleId="Ttulo6">
    <w:name w:val="heading 6"/>
    <w:basedOn w:val="Normal"/>
    <w:next w:val="Normal"/>
    <w:uiPriority w:val="9"/>
    <w:semiHidden/>
    <w:unhideWhenUsed/>
    <w:qFormat/>
    <w:rsid w:val="00B97020"/>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B97020"/>
    <w:tblPr>
      <w:tblCellMar>
        <w:top w:w="0" w:type="dxa"/>
        <w:left w:w="0" w:type="dxa"/>
        <w:bottom w:w="0" w:type="dxa"/>
        <w:right w:w="0" w:type="dxa"/>
      </w:tblCellMar>
    </w:tblPr>
  </w:style>
  <w:style w:type="paragraph" w:styleId="Ttulo">
    <w:name w:val="Title"/>
    <w:basedOn w:val="Normal"/>
    <w:next w:val="Normal"/>
    <w:uiPriority w:val="10"/>
    <w:qFormat/>
    <w:rsid w:val="00B97020"/>
    <w:pPr>
      <w:keepNext/>
      <w:keepLines/>
      <w:spacing w:after="60"/>
    </w:pPr>
    <w:rPr>
      <w:sz w:val="52"/>
      <w:szCs w:val="52"/>
    </w:rPr>
  </w:style>
  <w:style w:type="paragraph" w:styleId="Subttulo">
    <w:name w:val="Subtitle"/>
    <w:basedOn w:val="Normal"/>
    <w:next w:val="Normal"/>
    <w:uiPriority w:val="11"/>
    <w:qFormat/>
    <w:rsid w:val="00B97020"/>
    <w:pPr>
      <w:keepNext/>
      <w:keepLines/>
      <w:spacing w:after="320"/>
    </w:pPr>
    <w:rPr>
      <w:color w:val="666666"/>
      <w:sz w:val="30"/>
      <w:szCs w:val="30"/>
    </w:rPr>
  </w:style>
  <w:style w:type="table" w:customStyle="1" w:styleId="a">
    <w:basedOn w:val="TableNormal"/>
    <w:rsid w:val="00B97020"/>
    <w:tblPr>
      <w:tblStyleRowBandSize w:val="1"/>
      <w:tblStyleColBandSize w:val="1"/>
      <w:tblCellMar>
        <w:top w:w="100" w:type="dxa"/>
        <w:left w:w="100" w:type="dxa"/>
        <w:bottom w:w="100" w:type="dxa"/>
        <w:right w:w="100" w:type="dxa"/>
      </w:tblCellMar>
    </w:tblPr>
  </w:style>
  <w:style w:type="table" w:customStyle="1" w:styleId="a0">
    <w:basedOn w:val="TableNormal"/>
    <w:rsid w:val="00B97020"/>
    <w:tblPr>
      <w:tblStyleRowBandSize w:val="1"/>
      <w:tblStyleColBandSize w:val="1"/>
      <w:tblCellMar>
        <w:top w:w="100" w:type="dxa"/>
        <w:left w:w="100" w:type="dxa"/>
        <w:bottom w:w="100" w:type="dxa"/>
        <w:right w:w="100" w:type="dxa"/>
      </w:tblCellMar>
    </w:tblPr>
  </w:style>
  <w:style w:type="paragraph" w:styleId="Cabealho">
    <w:name w:val="header"/>
    <w:basedOn w:val="Normal"/>
    <w:link w:val="CabealhoChar"/>
    <w:uiPriority w:val="99"/>
    <w:unhideWhenUsed/>
    <w:rsid w:val="00F864C8"/>
    <w:pPr>
      <w:tabs>
        <w:tab w:val="center" w:pos="4252"/>
        <w:tab w:val="right" w:pos="8504"/>
      </w:tabs>
      <w:spacing w:line="240" w:lineRule="auto"/>
    </w:pPr>
  </w:style>
  <w:style w:type="character" w:customStyle="1" w:styleId="CabealhoChar">
    <w:name w:val="Cabeçalho Char"/>
    <w:basedOn w:val="Fontepargpadro"/>
    <w:link w:val="Cabealho"/>
    <w:uiPriority w:val="99"/>
    <w:rsid w:val="00F864C8"/>
  </w:style>
  <w:style w:type="paragraph" w:styleId="Rodap">
    <w:name w:val="footer"/>
    <w:basedOn w:val="Normal"/>
    <w:link w:val="RodapChar"/>
    <w:uiPriority w:val="99"/>
    <w:unhideWhenUsed/>
    <w:rsid w:val="00F864C8"/>
    <w:pPr>
      <w:tabs>
        <w:tab w:val="center" w:pos="4252"/>
        <w:tab w:val="right" w:pos="8504"/>
      </w:tabs>
      <w:spacing w:line="240" w:lineRule="auto"/>
    </w:pPr>
  </w:style>
  <w:style w:type="character" w:customStyle="1" w:styleId="RodapChar">
    <w:name w:val="Rodapé Char"/>
    <w:basedOn w:val="Fontepargpadro"/>
    <w:link w:val="Rodap"/>
    <w:uiPriority w:val="99"/>
    <w:rsid w:val="00F864C8"/>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1519</Words>
  <Characters>8205</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cultura</cp:lastModifiedBy>
  <cp:revision>2</cp:revision>
  <dcterms:created xsi:type="dcterms:W3CDTF">2024-12-03T11:11:00Z</dcterms:created>
  <dcterms:modified xsi:type="dcterms:W3CDTF">2024-12-03T11:11:00Z</dcterms:modified>
</cp:coreProperties>
</file>