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EBBE1" w14:textId="77777777" w:rsidR="007746A3" w:rsidRDefault="007746A3">
      <w:pPr>
        <w:shd w:val="clear" w:color="auto" w:fill="FFFFFF"/>
        <w:jc w:val="center"/>
        <w:rPr>
          <w:rFonts w:ascii="Calibri" w:eastAsia="Calibri" w:hAnsi="Calibri" w:cs="Calibri"/>
          <w:b/>
          <w:color w:val="002060"/>
          <w:sz w:val="24"/>
          <w:szCs w:val="24"/>
        </w:rPr>
      </w:pPr>
    </w:p>
    <w:p w14:paraId="6024A7E7" w14:textId="77777777" w:rsidR="00AF189F" w:rsidRPr="00AF189F" w:rsidRDefault="00AF189F" w:rsidP="00AF189F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ANEXO 02 - CRITÉRIOS DE AVALIAÇÃO DA ETAPA DE SELEÇÃO</w:t>
      </w:r>
    </w:p>
    <w:p w14:paraId="2689B5A4" w14:textId="6B7344F6" w:rsidR="00804E88" w:rsidRPr="00AF189F" w:rsidRDefault="00265EA2" w:rsidP="007746A3">
      <w:pPr>
        <w:shd w:val="clear" w:color="auto" w:fill="FFFFFF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b/>
          <w:color w:val="002060"/>
          <w:sz w:val="24"/>
          <w:szCs w:val="24"/>
        </w:rPr>
        <w:t xml:space="preserve">CHAMAMENTO PÚBLICO </w:t>
      </w:r>
      <w:r w:rsidR="007746A3" w:rsidRPr="00AF189F">
        <w:rPr>
          <w:rFonts w:ascii="Calibri" w:eastAsia="Calibri" w:hAnsi="Calibri" w:cs="Calibri"/>
          <w:b/>
          <w:color w:val="002060"/>
          <w:sz w:val="24"/>
          <w:szCs w:val="24"/>
        </w:rPr>
        <w:t xml:space="preserve">EDITAL Nº 03/2024 – CULTURA VIVA </w:t>
      </w:r>
    </w:p>
    <w:p w14:paraId="1543E57B" w14:textId="37C8F441" w:rsidR="007746A3" w:rsidRPr="00AF189F" w:rsidRDefault="007746A3" w:rsidP="007746A3">
      <w:pPr>
        <w:shd w:val="clear" w:color="auto" w:fill="FFFFFF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PATROCÍNIO/MG </w:t>
      </w:r>
    </w:p>
    <w:p w14:paraId="2689B5A5" w14:textId="4A1BF590" w:rsidR="00804E88" w:rsidRPr="00AF189F" w:rsidRDefault="00265EA2">
      <w:pPr>
        <w:shd w:val="clear" w:color="auto" w:fill="FFFFFF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DE PONTOS DE CULTURA DE </w:t>
      </w:r>
      <w:r w:rsidR="00AF189F"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MINAS GERAIS </w:t>
      </w: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 </w:t>
      </w:r>
    </w:p>
    <w:p w14:paraId="2689B5A9" w14:textId="6B5C9367" w:rsidR="00804E88" w:rsidRPr="00AF189F" w:rsidRDefault="00265EA2" w:rsidP="00AF189F">
      <w:pPr>
        <w:shd w:val="clear" w:color="auto" w:fill="FFFFFF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 </w:t>
      </w:r>
    </w:p>
    <w:p w14:paraId="2689B5AC" w14:textId="77777777"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Bloco 1 - Avaliação da atuação da entidade cultural (critério de certificação para entidades não certificadas)</w:t>
      </w:r>
    </w:p>
    <w:p w14:paraId="2689B5AD" w14:textId="77777777"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highlight w:val="magenta"/>
        </w:rPr>
      </w:pPr>
    </w:p>
    <w:tbl>
      <w:tblPr>
        <w:tblStyle w:val="a"/>
        <w:tblW w:w="139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8265"/>
        <w:gridCol w:w="915"/>
        <w:gridCol w:w="1395"/>
        <w:gridCol w:w="1455"/>
        <w:gridCol w:w="1500"/>
      </w:tblGrid>
      <w:tr w:rsidR="00AF189F" w:rsidRPr="00AF189F" w14:paraId="2689B5B2" w14:textId="77777777">
        <w:trPr>
          <w:trHeight w:val="55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AE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AF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  <w:tc>
          <w:tcPr>
            <w:tcW w:w="3765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DISTRIBUIÇÃO DOS PONTOS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1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PONTUAÇÃO MÁXIMA NO ITEM</w:t>
            </w:r>
          </w:p>
        </w:tc>
      </w:tr>
      <w:tr w:rsidR="00AF189F" w:rsidRPr="00AF189F" w14:paraId="2689B5B9" w14:textId="77777777">
        <w:trPr>
          <w:trHeight w:val="79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3" w14:textId="77777777" w:rsidR="00804E88" w:rsidRPr="00AF189F" w:rsidRDefault="00804E88">
            <w:pPr>
              <w:widowControl w:val="0"/>
              <w:jc w:val="both"/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</w:pP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4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 partir do portfólio, do formulário de inscrição e demais materiais enviados, e considerando os objetivos de Pontos de Cultura definidos na Lei que institui a Política Nacional de Cultura Viva (Lei nº 13.018/2014, art. 6º, I), analisar se a entidade ou coletivo cultural atende aos seguintes critérios: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Não Atende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6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Parcialmente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Plenamente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8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100 pontos</w:t>
            </w:r>
          </w:p>
        </w:tc>
      </w:tr>
      <w:tr w:rsidR="00AF189F" w:rsidRPr="00AF189F" w14:paraId="2689B5C0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A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B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Representa iniciativas culturais já desenvolvidas por comunidades, grupos e redes de colaboração.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C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D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B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5BF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5C7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C1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b)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C2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Promove, amplia e garante a criação e a produção artística e cultural.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C3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C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C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5C6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5CE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C8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C9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Incentiva a preservação da cultura brasileira.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CA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C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CC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5CD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5D5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CF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d)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0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Estimula a exploração de espaços públicos e privados para serem disponibilizados para a ação cultural.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1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3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5D4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5DC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6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e)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7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Aumenta a visibilidade das diversas iniciativas culturais.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8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A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5DB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5E3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D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f)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E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Promove a diversidade cultural brasileira, garantindo diálogos interculturais.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DF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1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5E2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5EA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4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g)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5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Garante acesso aos meios de fruição, produção e difusão cultural.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6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8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5E9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5F1" w14:textId="77777777">
        <w:trPr>
          <w:trHeight w:val="52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B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h)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C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Assegura a inclusão cultural da população idosa, de mulheres, jovens, pessoas negras, com deficiência, LGBTQIAP+ e/ou de baixa renda, combatendo as desigualdades sociais.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D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EF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5F0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5F8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F2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i)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F3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Contribui para o fortalecimento da autonomia social das comunidades.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F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F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F6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5F7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5FF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F9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j)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FA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Promove o intercâmbio entre diferentes segmentos da comunidade.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F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FC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5FD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5FE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06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0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k)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1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Estimula a articulação das redes sociais e culturais e dessas com a educação.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3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05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0D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7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l)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8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Adota princípios de gestão compartilhada entre atores culturais não governamentais e o Estado.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A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0C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14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E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m)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0F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Fomenta as economias solidária e criativa.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1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13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1B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5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n)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6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Protege o patrimônio cultural material, imaterial e promove as memórias comunitárias.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8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1A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22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C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D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Apoia e incentiva manifestações culturais populares e tradicionais.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1F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2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21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29" w14:textId="77777777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23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24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Realiza atividades culturais gratuitas e abertas com regularidade na comunidade.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2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26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2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28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30" w14:textId="77777777">
        <w:trPr>
          <w:trHeight w:val="55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2A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q)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2B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 xml:space="preserve">As ações da entidade/coletivo estão relacionadas aos eixos estruturantes da PNCV, por meio de ações nas áreas de formação, produção e/ou difusão sociocultural de </w:t>
            </w: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maneira continuada.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2C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2D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2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2F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804E88" w:rsidRPr="00AF189F" w14:paraId="2689B637" w14:textId="77777777">
        <w:trPr>
          <w:trHeight w:val="55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31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r)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32" w14:textId="77777777"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 entidade possui articulação com outras organizações, compondo Frentes, Redes, Conselhos, Comissões, dentre outros espaços de participação e incidência política em áreas sinérgicas a PNCV.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33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3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3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36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</w:tbl>
    <w:p w14:paraId="2689B638" w14:textId="77777777" w:rsidR="00804E88" w:rsidRPr="00AF189F" w:rsidRDefault="00804E88">
      <w:pPr>
        <w:widowControl w:val="0"/>
        <w:rPr>
          <w:rFonts w:ascii="Calibri" w:eastAsia="Calibri" w:hAnsi="Calibri" w:cs="Calibri"/>
          <w:color w:val="002060"/>
          <w:sz w:val="24"/>
          <w:szCs w:val="24"/>
        </w:rPr>
      </w:pPr>
    </w:p>
    <w:p w14:paraId="2689B639" w14:textId="77777777" w:rsidR="00804E88" w:rsidRPr="00AF189F" w:rsidRDefault="00265EA2">
      <w:pPr>
        <w:widowControl w:val="0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Para ser certificada, a entidade precisará alcançar a pontuação mínima de 50 (cinquenta) pontos no Bloco 1.</w:t>
      </w:r>
    </w:p>
    <w:p w14:paraId="2689B63A" w14:textId="77777777"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</w:rPr>
      </w:pPr>
    </w:p>
    <w:p w14:paraId="2689B63B" w14:textId="77777777"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</w:rPr>
      </w:pPr>
    </w:p>
    <w:p w14:paraId="2689B63C" w14:textId="77777777"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Bloco 2 - Avaliação do projeto apresentado</w:t>
      </w:r>
    </w:p>
    <w:p w14:paraId="2689B63D" w14:textId="77777777"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highlight w:val="yellow"/>
        </w:rPr>
      </w:pPr>
    </w:p>
    <w:tbl>
      <w:tblPr>
        <w:tblStyle w:val="a0"/>
        <w:tblW w:w="1392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"/>
        <w:gridCol w:w="6795"/>
        <w:gridCol w:w="1710"/>
        <w:gridCol w:w="1665"/>
        <w:gridCol w:w="1530"/>
        <w:gridCol w:w="1845"/>
      </w:tblGrid>
      <w:tr w:rsidR="00AF189F" w:rsidRPr="00AF189F" w14:paraId="2689B641" w14:textId="77777777">
        <w:trPr>
          <w:trHeight w:val="585"/>
        </w:trPr>
        <w:tc>
          <w:tcPr>
            <w:tcW w:w="7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3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CRITÉRIOS</w:t>
            </w:r>
          </w:p>
        </w:tc>
        <w:tc>
          <w:tcPr>
            <w:tcW w:w="4905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3F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DISTRIBUIÇÃO DOS PONTOS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PONTUAÇÃO MÁXIMA NO ITEM</w:t>
            </w:r>
          </w:p>
        </w:tc>
      </w:tr>
      <w:tr w:rsidR="00AF189F" w:rsidRPr="00AF189F" w14:paraId="2689B648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I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3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Efeitos artístico-culturais, sociais e econômicos esperados com o projeto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Não Atende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Parcialmente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6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Plenamente</w:t>
            </w:r>
          </w:p>
        </w:tc>
        <w:tc>
          <w:tcPr>
            <w:tcW w:w="18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50 pontos</w:t>
            </w:r>
          </w:p>
        </w:tc>
      </w:tr>
      <w:tr w:rsidR="00AF189F" w:rsidRPr="00AF189F" w14:paraId="2689B64F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A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contribui com a prática da cidadania cultural, com a ampliação das condições de acesso da comunidade aos bens e serviços culturais.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C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4D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4E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56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b)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1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As oficinas/ações formativas impactam de forma efetiva com a ampliação de repertórios artísticos e culturais.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3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55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5D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c)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8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As estratégias de acessibilidade promovem o acesso e o protagonismo das pessoas com deficiência.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A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5C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64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d)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5F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estimula a diversidade cultural e a alteridade, promovendo o protagonismo e a interação entre grupos vulneráveis e excluídos.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1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63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6B" w14:textId="77777777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6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Promove a expressividade e a criação estética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8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6A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72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C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f)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D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Prevê a realização de processos cooperativos e criativos continuados (p.ex.: jogo, dinâmica, experimentação, exercício estético, entre outros)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6F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7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71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79" w14:textId="77777777">
        <w:trPr>
          <w:trHeight w:val="84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73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g)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74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Contribui para o uso protagonista e consciente das tecnologias digitais, realizando estratégias de desenvolvimento da cultura digital; a promoção de culturas populares e tradicionais em meios digitais; e/ou combate à desinformação.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7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76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7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78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80" w14:textId="77777777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7A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h)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7B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As ações previstas contribuem com a geração de trabalho e renda na comunidade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7C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7D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7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7F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87" w14:textId="77777777">
        <w:trPr>
          <w:trHeight w:val="135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81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i)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82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Fomenta atividades para disponibilizar crédito solidário e de meios de circulação local (moedas sociais), disponibilizar equipamentos (estúdio, ilhas de edição, maquinas e equipamentos, etc.) para uso coletivo, e espaços de interação produtiva cooperativa e comercialização solidária (espaços de encontro e trabalho, portais e ferramentas na internet, eventos, lojas, feiras, etc.)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83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8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8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86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8E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88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j)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89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prevê estratégias que impactam em diferentes dimensões da vida social, como educação, saúde, meio ambiente, segurança, mobilidade etc.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8A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8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8C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8D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95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8F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k)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0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prevê estratégias efetivas de participação da comunidade na gestão do Ponto de Cultura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1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3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94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9C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6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l)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7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promoverá a atuação em rede do Ponto de Cultura para fortalecer a sua base comunitária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8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A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9B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A3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D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II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E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Execução e detalhamento do Plano de Trabalho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9F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Não Atende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Parcialmente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1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Plenamente</w:t>
            </w:r>
          </w:p>
        </w:tc>
        <w:tc>
          <w:tcPr>
            <w:tcW w:w="18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35 pontos</w:t>
            </w:r>
          </w:p>
        </w:tc>
      </w:tr>
      <w:tr w:rsidR="00AF189F" w:rsidRPr="00AF189F" w14:paraId="2689B6AA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5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Capacidade técnica, gerencial e operacional da entidade para execução do projeto (vinculação do portfólio com o projeto apresentado)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6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8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A9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B1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b)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C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define metas razoáveis e exequíveis a serem entregues, com informações sobre ações a serem executadas e prazos.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D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AF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B0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B8" w14:textId="77777777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B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B3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prevê estratégias pertinentes em relação aos resultados pretendidos.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B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B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B6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B7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BF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B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d)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BA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prevê e detalha estratégias de divulgação específicas, com capacidade de democratização da informação acerca de suas ações.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B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BC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BD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BE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C6" w14:textId="77777777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1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prevê estratégias e meios de verificação do cumprimento das metas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3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C5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CD" w14:textId="77777777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f)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8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 equipe técnica prevista é adequada para a realização do projeto.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A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CC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D4" w14:textId="77777777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g)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CF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apresenta clareza, coerência e razoabilidade entre as ações do projeto e os itens de despesas e seus custos;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D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D1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D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D3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DB" w14:textId="77777777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D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h)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D6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tem exequibilidade, viabilidade para ser executado no prazo proposto.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D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D8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D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DA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E3" w14:textId="77777777">
        <w:trPr>
          <w:trHeight w:val="79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DC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III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DD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Abrangência do projeto considerando o público beneficiário</w:t>
            </w:r>
          </w:p>
          <w:p w14:paraId="2689B6DE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 partir das informações dispostas no Planejamento do Projeto, a candidatura atenderá diretamente os seguintes públicos: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DF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Não atende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Parcialmente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1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</w:t>
            </w:r>
          </w:p>
        </w:tc>
        <w:tc>
          <w:tcPr>
            <w:tcW w:w="18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15 pontos</w:t>
            </w:r>
          </w:p>
        </w:tc>
      </w:tr>
      <w:tr w:rsidR="00AF189F" w:rsidRPr="00AF189F" w14:paraId="2689B6EA" w14:textId="77777777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5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Estudantes da Rede Pública de ensino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6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8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E9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F1" w14:textId="77777777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b)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89B6EC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Primeira Infância (crianças de 0 a 6 anos)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D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EF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F0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F8" w14:textId="77777777">
        <w:trPr>
          <w:trHeight w:val="55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F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F3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População de baixa renda, habitando áreas com precária oferta de serviços públicos e de cultura, incluindo a área rural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F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F5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F6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F7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6FF" w14:textId="77777777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F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d)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FA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Pessoas com deficiência e(ou) mobilidade reduzida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F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FC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6FD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6FE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706" w14:textId="77777777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1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Povos Indígenas e Comunidades Tradicionais de Matriz Africana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2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3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4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705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70D" w14:textId="77777777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7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f)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8" w14:textId="77777777"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Pessoas LGBTQIA+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9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A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B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70C" w14:textId="77777777"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804E88" w:rsidRPr="00AF189F" w14:paraId="2689B711" w14:textId="77777777">
        <w:trPr>
          <w:trHeight w:val="330"/>
        </w:trPr>
        <w:tc>
          <w:tcPr>
            <w:tcW w:w="7170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E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TOTAL</w:t>
            </w:r>
          </w:p>
        </w:tc>
        <w:tc>
          <w:tcPr>
            <w:tcW w:w="49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0F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100 PONTOS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9B710" w14:textId="77777777"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100 pontos</w:t>
            </w:r>
          </w:p>
        </w:tc>
      </w:tr>
    </w:tbl>
    <w:p w14:paraId="2689B712" w14:textId="77777777"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highlight w:val="yellow"/>
        </w:rPr>
      </w:pPr>
    </w:p>
    <w:p w14:paraId="2689B713" w14:textId="77777777"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highlight w:val="yellow"/>
        </w:rPr>
      </w:pPr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Bloco 3 - Bonificações</w:t>
      </w:r>
    </w:p>
    <w:p w14:paraId="2689B714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Poderão ser atribuídas bonificações em formato de pontuação extra, seguindo diferentes critérios, de acordo com a deliberação do Ente Federado, </w:t>
      </w:r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até o limite total de 5 (cinco) pontos</w:t>
      </w:r>
      <w:r w:rsidRPr="00AF189F">
        <w:rPr>
          <w:rFonts w:ascii="Calibri" w:eastAsia="Calibri" w:hAnsi="Calibri" w:cs="Calibri"/>
          <w:color w:val="002060"/>
          <w:sz w:val="24"/>
          <w:szCs w:val="24"/>
        </w:rPr>
        <w:t>. Inclusive, é possível a não adoção de nenhum tipo de bonificação.</w:t>
      </w:r>
    </w:p>
    <w:p w14:paraId="2689B715" w14:textId="77777777" w:rsidR="00804E88" w:rsidRPr="00AF189F" w:rsidRDefault="00804E88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2689B716" w14:textId="77777777" w:rsidR="00804E88" w:rsidRPr="00AF189F" w:rsidRDefault="00265EA2">
      <w:pPr>
        <w:shd w:val="clear" w:color="auto" w:fill="FFFFFF"/>
        <w:spacing w:before="120" w:after="120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[somente para editais estaduais</w:t>
      </w:r>
      <w:proofErr w:type="gramStart"/>
      <w:r w:rsidRPr="00AF189F">
        <w:rPr>
          <w:rFonts w:ascii="Calibri" w:eastAsia="Calibri" w:hAnsi="Calibri" w:cs="Calibri"/>
          <w:color w:val="002060"/>
          <w:sz w:val="24"/>
          <w:szCs w:val="24"/>
        </w:rPr>
        <w:t>] Será</w:t>
      </w:r>
      <w:proofErr w:type="gramEnd"/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 atribuída pontuação extra de 20 (vinte) pontos para projetos oriundos de municípios que não contem com editais municipais específicos para fomento a projetos continuados de Pontos de Cultura, por meio da celebração de Termos de Compromisso Cultural (TCC) - inclusive para os municípios tenham previsto editais de premiação. Essa pontuação não conta para o limite de 05 (cinco) pontos extra.</w:t>
      </w:r>
    </w:p>
    <w:p w14:paraId="2689B717" w14:textId="77777777" w:rsidR="00804E88" w:rsidRPr="00AF189F" w:rsidRDefault="00265EA2">
      <w:pPr>
        <w:shd w:val="clear" w:color="auto" w:fill="FFFFFF"/>
        <w:spacing w:before="120" w:after="120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O Ministério da Cultura fornecerá, aos governos estaduais, a listagem de municípios que não previram, em seus Planos Anuais de Aplicação de Recursos (PAAR), editais específicos para fomento a projetos continuados de Pontos de Cultura por meio de </w:t>
      </w:r>
      <w:proofErr w:type="spellStart"/>
      <w:r w:rsidRPr="00AF189F">
        <w:rPr>
          <w:rFonts w:ascii="Calibri" w:eastAsia="Calibri" w:hAnsi="Calibri" w:cs="Calibri"/>
          <w:color w:val="002060"/>
          <w:sz w:val="24"/>
          <w:szCs w:val="24"/>
        </w:rPr>
        <w:t>TCCs</w:t>
      </w:r>
      <w:proofErr w:type="spellEnd"/>
      <w:r w:rsidRPr="00AF189F">
        <w:rPr>
          <w:rFonts w:ascii="Calibri" w:eastAsia="Calibri" w:hAnsi="Calibri" w:cs="Calibri"/>
          <w:color w:val="002060"/>
          <w:sz w:val="24"/>
          <w:szCs w:val="24"/>
        </w:rPr>
        <w:t>.</w:t>
      </w:r>
    </w:p>
    <w:p w14:paraId="2689B718" w14:textId="77777777" w:rsidR="00804E88" w:rsidRPr="00AF189F" w:rsidRDefault="00804E88">
      <w:pPr>
        <w:shd w:val="clear" w:color="auto" w:fill="FFFFFF"/>
        <w:spacing w:before="120" w:after="120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2689B719" w14:textId="77777777" w:rsidR="00804E88" w:rsidRPr="00AF189F" w:rsidRDefault="00265EA2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O Ente Federativo responsável pelo Edital poderá definir pontuação extra (dentro do limite total de até 05 pontos adicionais para todas as possíveis bonificações definidas) para Pontos e Pontões de Cultura já certificados pelo Ministério da Cultura, </w:t>
      </w:r>
      <w:r w:rsidRPr="00AF189F">
        <w:rPr>
          <w:rFonts w:ascii="Calibri" w:eastAsia="Calibri" w:hAnsi="Calibri" w:cs="Calibri"/>
          <w:color w:val="002060"/>
          <w:sz w:val="24"/>
          <w:szCs w:val="24"/>
          <w:u w:val="single"/>
        </w:rPr>
        <w:t>apenas no caso de não definir cotas (Anexo 01)</w:t>
      </w:r>
      <w:r w:rsidRPr="00AF189F">
        <w:rPr>
          <w:rFonts w:ascii="Calibri" w:eastAsia="Calibri" w:hAnsi="Calibri" w:cs="Calibri"/>
          <w:color w:val="002060"/>
          <w:sz w:val="24"/>
          <w:szCs w:val="24"/>
        </w:rPr>
        <w:t>. Inclusive, pode não adotar bonificações para Pontos e Pontões de Cultura já certificados pelo Ministério da Cultura, a seu critério.</w:t>
      </w:r>
    </w:p>
    <w:p w14:paraId="2689B71A" w14:textId="77777777" w:rsidR="00804E88" w:rsidRPr="00AF189F" w:rsidRDefault="00804E88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2689B71B" w14:textId="77777777" w:rsidR="00804E88" w:rsidRPr="00AF189F" w:rsidRDefault="00265EA2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Caso opte por algum percentual de cotas para Pontos e Pontões de Cultura já certificados pelo Ministério da Cultura, a certificação não poderá ser em data posterior a 30 de junho de 2024 (considerando as inscrições efetuadas até 30 de março de 2024, pois o prazo de certificação, pela Comissão de Certificação do Cadastro Nacional de Pontos e Pontões de Cultura, é de até 90 dias). E não poderá ser definida cota por tempo de certificação, pois não há como se garantir a precisão deste tipo de informação.</w:t>
      </w:r>
    </w:p>
    <w:p w14:paraId="2689B71C" w14:textId="77777777" w:rsidR="00804E88" w:rsidRPr="00AF189F" w:rsidRDefault="00804E88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2689B71D" w14:textId="77777777" w:rsidR="00804E88" w:rsidRPr="00AF189F" w:rsidRDefault="00265EA2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Conforme consta na Portaria Nº 80/2023 do Ministério da Cultura (que regulamenta a PNAB), não poderá ser adotado qualquer outro cadastro (como Cadastro Estadual e/ou Municipal de Pontos de Cultura, ou qualquer outro cadastro) para bonificações. Apenas o Cadastro Nacional de Pontos e Pontões de Cultura poderá ser objeto de bonificações.</w:t>
      </w:r>
    </w:p>
    <w:p w14:paraId="2689B71E" w14:textId="77777777" w:rsidR="00804E88" w:rsidRPr="00AF189F" w:rsidRDefault="00804E88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tbl>
      <w:tblPr>
        <w:tblStyle w:val="a1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77"/>
        <w:gridCol w:w="6977"/>
      </w:tblGrid>
      <w:tr w:rsidR="00AF189F" w:rsidRPr="00AF189F" w14:paraId="2689B721" w14:textId="77777777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71F" w14:textId="77777777" w:rsidR="00804E88" w:rsidRPr="00AF189F" w:rsidRDefault="00265E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CRITÉRIO DE BONIFICAÇÃO</w:t>
            </w: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720" w14:textId="77777777" w:rsidR="00804E88" w:rsidRPr="00AF189F" w:rsidRDefault="00265E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PONTUAÇÃO ATRIBUÍDA</w:t>
            </w:r>
          </w:p>
        </w:tc>
      </w:tr>
      <w:tr w:rsidR="00AF189F" w:rsidRPr="00AF189F" w14:paraId="2689B724" w14:textId="77777777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722" w14:textId="77777777"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723" w14:textId="77777777"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 w14:paraId="2689B727" w14:textId="77777777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725" w14:textId="77777777"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726" w14:textId="77777777"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804E88" w:rsidRPr="00AF189F" w14:paraId="2689B72A" w14:textId="77777777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728" w14:textId="77777777"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B729" w14:textId="77777777"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</w:tbl>
    <w:p w14:paraId="2689B72B" w14:textId="77777777" w:rsidR="00804E88" w:rsidRPr="00AF189F" w:rsidRDefault="00804E88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  <w:shd w:val="clear" w:color="auto" w:fill="F4CCCC"/>
        </w:rPr>
      </w:pPr>
    </w:p>
    <w:p w14:paraId="2689B72C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O Ente Federativo deverá considerar o conjunto de regramentos previstos na Instrução Normativa MinC nº 10, de 28 de dezembro de 2023, que dispõe sobre as regras e os procedimentos para implementação das ações afirmativas e medidas de acessibilidade de que trata o Decreto nº 11.740, de 18 de outubro de 2023, que regulamenta a Lei nº 14.399, de 08 de julho de 2022, a qual institui a Política Nacional Aldir Blanc de Fomento à Cultura. Em especial, o Capítulo III:</w:t>
      </w:r>
    </w:p>
    <w:p w14:paraId="2689B72D" w14:textId="77777777" w:rsidR="00804E88" w:rsidRPr="00AF189F" w:rsidRDefault="00804E88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2689B72E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“CAPÍTULO III</w:t>
      </w:r>
    </w:p>
    <w:p w14:paraId="2689B72F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DAS BONIFICAÇÕES OU DOS CRITÉRIOS DIFERENCIADOS DE PONTUAÇÃO</w:t>
      </w:r>
    </w:p>
    <w:p w14:paraId="2689B730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Art. 11. Os critérios diferenciados de pontuação têm como objetivo valorizar e induzir propostas que contemplem ou tenham associação às políticas afirmativas, podendo ser aplicados a pessoas físicas, pessoas jurídicas ou grupos e coletivos sem constituição jurídica.</w:t>
      </w:r>
    </w:p>
    <w:p w14:paraId="2689B731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Art. 12. Os procedimentos públicos de seleção podem conter critérios diferenciados de pontuação, inclusive critérios de desempate, considerando:</w:t>
      </w:r>
    </w:p>
    <w:p w14:paraId="2689B732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I - </w:t>
      </w:r>
      <w:proofErr w:type="gramStart"/>
      <w:r w:rsidRPr="00AF189F">
        <w:rPr>
          <w:rFonts w:ascii="Calibri" w:eastAsia="Calibri" w:hAnsi="Calibri" w:cs="Calibri"/>
          <w:color w:val="002060"/>
          <w:sz w:val="24"/>
          <w:szCs w:val="24"/>
        </w:rPr>
        <w:t>o</w:t>
      </w:r>
      <w:proofErr w:type="gramEnd"/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 perfil do público-alvo a que a ação, projeto ou produto cultural é direcionado;</w:t>
      </w:r>
    </w:p>
    <w:p w14:paraId="2689B733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II - </w:t>
      </w:r>
      <w:proofErr w:type="gramStart"/>
      <w:r w:rsidRPr="00AF189F">
        <w:rPr>
          <w:rFonts w:ascii="Calibri" w:eastAsia="Calibri" w:hAnsi="Calibri" w:cs="Calibri"/>
          <w:color w:val="002060"/>
          <w:sz w:val="24"/>
          <w:szCs w:val="24"/>
        </w:rPr>
        <w:t>o</w:t>
      </w:r>
      <w:proofErr w:type="gramEnd"/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 perfil do agente cultural que propõe a ação, projeto ou produto cultural;</w:t>
      </w:r>
    </w:p>
    <w:p w14:paraId="2689B734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III - a linguagem, expressão cultural e/ou temática da ação, projeto ou produto cultural;</w:t>
      </w:r>
    </w:p>
    <w:p w14:paraId="2689B735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IV - </w:t>
      </w:r>
      <w:proofErr w:type="gramStart"/>
      <w:r w:rsidRPr="00AF189F">
        <w:rPr>
          <w:rFonts w:ascii="Calibri" w:eastAsia="Calibri" w:hAnsi="Calibri" w:cs="Calibri"/>
          <w:color w:val="002060"/>
          <w:sz w:val="24"/>
          <w:szCs w:val="24"/>
        </w:rPr>
        <w:t>a</w:t>
      </w:r>
      <w:proofErr w:type="gramEnd"/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 facilitação do acesso pela população aos bens e serviços gerados pela ação, projeto ou produto cultural, por meio de:</w:t>
      </w:r>
    </w:p>
    <w:p w14:paraId="2689B736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a) gratuidade de ingressos ou ingressos a preços populares;</w:t>
      </w:r>
    </w:p>
    <w:p w14:paraId="2689B737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b) distribuição gratuita de produtos culturais para escolas públicas, Unidades Básicas de Saúde - UBS, Centro de Atenção Psicossocial - CAPS, Centros de Referência da Assistência Social - CRAS, e demais equipamentos públicos; e</w:t>
      </w:r>
    </w:p>
    <w:p w14:paraId="2689B738" w14:textId="77777777"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c) outras estratégias de democratização do acesso.</w:t>
      </w:r>
    </w:p>
    <w:p w14:paraId="2689B739" w14:textId="77777777"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highlight w:val="green"/>
          <w:u w:val="single"/>
        </w:rPr>
      </w:pPr>
    </w:p>
    <w:p w14:paraId="2689B73A" w14:textId="77777777"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  <w:proofErr w:type="spellStart"/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Notal</w:t>
      </w:r>
      <w:proofErr w:type="spellEnd"/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 xml:space="preserve"> final de cada Avaliador(a)</w:t>
      </w:r>
    </w:p>
    <w:p w14:paraId="2689B73B" w14:textId="77777777"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lastRenderedPageBreak/>
        <w:t>A nota final de cada avaliador(a) será obtida a partir do cálculo da média aritmética simples dos Blocos 1 e 2 e, depois, a soma das possíveis bonificações provenientes do Blocos 3.</w:t>
      </w:r>
    </w:p>
    <w:p w14:paraId="2689B73C" w14:textId="77777777"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2689B73D" w14:textId="77777777"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Pontuação Final por Avaliador = [(Pontuação no Bloco 1 + Pontuação no Bloco 2) ÷ 2] + Pontuação Bloco 3 (caso haja)</w:t>
      </w:r>
    </w:p>
    <w:sectPr w:rsidR="00804E88" w:rsidRPr="00AF189F">
      <w:headerReference w:type="default" r:id="rId6"/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9B740" w14:textId="77777777" w:rsidR="0030263A" w:rsidRDefault="0030263A">
      <w:pPr>
        <w:spacing w:line="240" w:lineRule="auto"/>
      </w:pPr>
      <w:r>
        <w:separator/>
      </w:r>
    </w:p>
  </w:endnote>
  <w:endnote w:type="continuationSeparator" w:id="0">
    <w:p w14:paraId="2689B741" w14:textId="77777777" w:rsidR="0030263A" w:rsidRDefault="003026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9B73E" w14:textId="77777777" w:rsidR="0030263A" w:rsidRDefault="0030263A">
      <w:pPr>
        <w:spacing w:line="240" w:lineRule="auto"/>
      </w:pPr>
      <w:r>
        <w:separator/>
      </w:r>
    </w:p>
  </w:footnote>
  <w:footnote w:type="continuationSeparator" w:id="0">
    <w:p w14:paraId="2689B73F" w14:textId="77777777" w:rsidR="0030263A" w:rsidRDefault="003026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9B742" w14:textId="77777777" w:rsidR="00804E88" w:rsidRDefault="00700459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689B744" wp14:editId="2689B745">
          <wp:simplePos x="0" y="0"/>
          <wp:positionH relativeFrom="margin">
            <wp:posOffset>-1028700</wp:posOffset>
          </wp:positionH>
          <wp:positionV relativeFrom="paragraph">
            <wp:posOffset>-657225</wp:posOffset>
          </wp:positionV>
          <wp:extent cx="7666888" cy="1276350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6888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EA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689B746" wp14:editId="2689B747">
              <wp:simplePos x="0" y="0"/>
              <wp:positionH relativeFrom="column">
                <wp:posOffset>-63499</wp:posOffset>
              </wp:positionH>
              <wp:positionV relativeFrom="paragraph">
                <wp:posOffset>393700</wp:posOffset>
              </wp:positionV>
              <wp:extent cx="5808345" cy="12700"/>
              <wp:effectExtent l="0" t="0" r="0" b="0"/>
              <wp:wrapNone/>
              <wp:docPr id="1" name="Conector de Seta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41828" y="3780000"/>
                        <a:ext cx="580834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206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0B56B84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-5pt;margin-top:31pt;width:457.35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FS063jnAQAAuwMAAA4AAAAAAAAAAAAAAAAALgIAAGRycy9lMm9Eb2MueG1s&#10;UEsBAi0AFAAGAAgAAAAhANub5i7fAAAACQEAAA8AAAAAAAAAAAAAAAAAQQQAAGRycy9kb3ducmV2&#10;LnhtbFBLBQYAAAAABAAEAPMAAABNBQAAAAA=&#10;" strokecolor="#002060">
              <v:stroke startarrowwidth="narrow" startarrowlength="short" endarrowwidth="narrow" endarrowlength="short"/>
            </v:shape>
          </w:pict>
        </mc:Fallback>
      </mc:AlternateContent>
    </w:r>
  </w:p>
  <w:p w14:paraId="2689B743" w14:textId="77777777" w:rsidR="00804E88" w:rsidRDefault="00804E8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88"/>
    <w:rsid w:val="00172604"/>
    <w:rsid w:val="00265EA2"/>
    <w:rsid w:val="0030263A"/>
    <w:rsid w:val="006859FD"/>
    <w:rsid w:val="00700459"/>
    <w:rsid w:val="007746A3"/>
    <w:rsid w:val="00804E88"/>
    <w:rsid w:val="00AF189F"/>
    <w:rsid w:val="00BF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89B5A2"/>
  <w15:docId w15:val="{D8B79116-A2CB-4874-9A55-832BFD5D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0045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0459"/>
  </w:style>
  <w:style w:type="paragraph" w:styleId="Rodap">
    <w:name w:val="footer"/>
    <w:basedOn w:val="Normal"/>
    <w:link w:val="RodapChar"/>
    <w:uiPriority w:val="99"/>
    <w:unhideWhenUsed/>
    <w:rsid w:val="0070045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0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1671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Patmoss Soluções em Gestão Cultural</cp:lastModifiedBy>
  <cp:revision>5</cp:revision>
  <dcterms:created xsi:type="dcterms:W3CDTF">2024-08-07T11:16:00Z</dcterms:created>
  <dcterms:modified xsi:type="dcterms:W3CDTF">2024-09-10T19:33:00Z</dcterms:modified>
</cp:coreProperties>
</file>